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64B801E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200ADB">
        <w:rPr>
          <w:b w:val="0"/>
          <w:bCs w:val="0"/>
        </w:rPr>
        <w:t>Truman Drive</w:t>
      </w:r>
      <w:r w:rsidR="00572EAD">
        <w:rPr>
          <w:b w:val="0"/>
          <w:bCs w:val="0"/>
        </w:rPr>
        <w:t>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19651D29" w:rsidR="00572EAD" w:rsidRDefault="008044DD" w:rsidP="00572EAD">
            <w:pPr>
              <w:jc w:val="center"/>
            </w:pPr>
            <w:r>
              <w:t>£</w:t>
            </w:r>
            <w:r w:rsidR="004A39A2">
              <w:t>0.89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1142747D" w:rsidR="00572EAD" w:rsidRDefault="008044DD" w:rsidP="00572EAD">
            <w:pPr>
              <w:jc w:val="center"/>
            </w:pPr>
            <w:r>
              <w:t>£0.</w:t>
            </w:r>
            <w:r w:rsidR="004A39A2">
              <w:t>43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3647C8BA" w:rsidR="00572EAD" w:rsidRDefault="008044DD" w:rsidP="00572EAD">
            <w:pPr>
              <w:jc w:val="center"/>
            </w:pPr>
            <w:r>
              <w:t>£</w:t>
            </w:r>
            <w:r w:rsidR="00747420">
              <w:t>1.</w:t>
            </w:r>
            <w:r w:rsidR="004A39A2">
              <w:t>77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00ADB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D57FE"/>
    <w:rsid w:val="00572EAD"/>
    <w:rsid w:val="00597F5D"/>
    <w:rsid w:val="00607650"/>
    <w:rsid w:val="006209BF"/>
    <w:rsid w:val="00661ED5"/>
    <w:rsid w:val="00700CA3"/>
    <w:rsid w:val="00706267"/>
    <w:rsid w:val="00713990"/>
    <w:rsid w:val="007151EE"/>
    <w:rsid w:val="00733ABD"/>
    <w:rsid w:val="00747420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B75FFE"/>
    <w:rsid w:val="00B77D40"/>
    <w:rsid w:val="00BD4241"/>
    <w:rsid w:val="00BD76C2"/>
    <w:rsid w:val="00C34502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4</cp:revision>
  <cp:lastPrinted>2022-02-23T15:27:00Z</cp:lastPrinted>
  <dcterms:created xsi:type="dcterms:W3CDTF">2025-03-19T13:44:00Z</dcterms:created>
  <dcterms:modified xsi:type="dcterms:W3CDTF">2025-03-19T13:45:00Z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-533522830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